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SPORTİF DEĞERLENDİRME VE GELİŞTİRME KURULU YÖNETMELİĞİ</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 </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BİRİNCİ BÖLÜM</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Amaç, Kapsam, Dayanak ve Tanımlar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Amaç</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1</w:t>
      </w:r>
      <w:r w:rsidRPr="00111D17">
        <w:rPr>
          <w:rFonts w:ascii="Calibri" w:eastAsia="Times New Roman" w:hAnsi="Calibri" w:cs="Times New Roman"/>
          <w:color w:val="1C283D"/>
          <w:lang w:eastAsia="tr-TR"/>
        </w:rPr>
        <w:t> – (1) Bu Yönetmeliğin amacı; bağımsız spor federasyonlarının sportif başarıları ile plan ve projelerini kontrol etmek, faaliyetlerini izlemek, değerlendirmek ve geliştirmekle görevli ve yetkili Sportif Değerlendirme ve Geliştirme Kurulunun kuruluşu ile çalışma usul ve esaslarını belirlemektir.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Kapsam</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2</w:t>
      </w:r>
      <w:r w:rsidRPr="00111D17">
        <w:rPr>
          <w:rFonts w:ascii="Calibri" w:eastAsia="Times New Roman" w:hAnsi="Calibri" w:cs="Times New Roman"/>
          <w:color w:val="1C283D"/>
          <w:lang w:eastAsia="tr-TR"/>
        </w:rPr>
        <w:t> – (1) Bu Yönetmelik, Sportif Değerlendirme ve Geliştirme Kurulu ile bağımsız spor federasyonlarını kapsar.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Dayanak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3</w:t>
      </w:r>
      <w:r w:rsidRPr="00111D17">
        <w:rPr>
          <w:rFonts w:ascii="Calibri" w:eastAsia="Times New Roman" w:hAnsi="Calibri" w:cs="Times New Roman"/>
          <w:color w:val="1C283D"/>
          <w:lang w:eastAsia="tr-TR"/>
        </w:rPr>
        <w:t> – (1) Bu Yönetmelik, </w:t>
      </w:r>
      <w:proofErr w:type="gramStart"/>
      <w:r w:rsidRPr="00111D17">
        <w:rPr>
          <w:rFonts w:ascii="Calibri" w:eastAsia="Times New Roman" w:hAnsi="Calibri" w:cs="Times New Roman"/>
          <w:color w:val="1C283D"/>
          <w:lang w:eastAsia="tr-TR"/>
        </w:rPr>
        <w:t>21/5/1986</w:t>
      </w:r>
      <w:proofErr w:type="gramEnd"/>
      <w:r w:rsidRPr="00111D17">
        <w:rPr>
          <w:rFonts w:ascii="Calibri" w:eastAsia="Times New Roman" w:hAnsi="Calibri" w:cs="Times New Roman"/>
          <w:color w:val="1C283D"/>
          <w:lang w:eastAsia="tr-TR"/>
        </w:rPr>
        <w:t> tarihli ve 3289 sayılı Spor Genel Müdürlüğünün Teşkilat ve Görevleri Hakkında Kanunun ek 9 uncu maddesine dayanılarak hazırlanmıştır.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Tanımlar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4</w:t>
      </w:r>
      <w:r w:rsidRPr="00111D17">
        <w:rPr>
          <w:rFonts w:ascii="Calibri" w:eastAsia="Times New Roman" w:hAnsi="Calibri" w:cs="Times New Roman"/>
          <w:color w:val="1C283D"/>
          <w:lang w:eastAsia="tr-TR"/>
        </w:rPr>
        <w:t> – (1) Bu Yönetmelikte geçen;</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a) Bakan: Gençlik ve Spor Bakanını,</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b) Daire Başkanlığı: Spor Faaliyetleri Dairesi Başkanlığını,</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ç) Genel Müdür: Spor Genel Müdürünü,</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ç) Genel Müdürlük: Spor Genel Müdürlüğünü,</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d) Kurul: Sportif Değerlendirme ve Geliştirme Kurulunu,</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e) Federasyon: 3289 sayılı Kanunun ek 9 uncu maddesi kapsamında kurulan özel hukuk hükümlerine tabi bağımsız spor federasyonlarını,</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111D17">
        <w:rPr>
          <w:rFonts w:ascii="Calibri" w:eastAsia="Times New Roman" w:hAnsi="Calibri" w:cs="Times New Roman"/>
          <w:color w:val="1C283D"/>
          <w:lang w:eastAsia="tr-TR"/>
        </w:rPr>
        <w:t>ifade</w:t>
      </w:r>
      <w:proofErr w:type="gramEnd"/>
      <w:r w:rsidRPr="00111D17">
        <w:rPr>
          <w:rFonts w:ascii="Calibri" w:eastAsia="Times New Roman" w:hAnsi="Calibri" w:cs="Times New Roman"/>
          <w:color w:val="1C283D"/>
          <w:lang w:eastAsia="tr-TR"/>
        </w:rPr>
        <w:t> eder.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 </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İKİNCİ BÖLÜM</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Kurulun Kuruluşu, Görev ve Yetkileri</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Kuruluş</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5</w:t>
      </w:r>
      <w:r w:rsidRPr="00111D17">
        <w:rPr>
          <w:rFonts w:ascii="Calibri" w:eastAsia="Times New Roman" w:hAnsi="Calibri" w:cs="Times New Roman"/>
          <w:color w:val="1C283D"/>
          <w:lang w:eastAsia="tr-TR"/>
        </w:rPr>
        <w:t> – (1) Kurul; Bakan tarafından spor alanında bilimsel çalışmalar yapmış veya sporda idareci, teknik adam ve benzeri görevlerde veya kamu kurum ve kuruluşları ile özel sektörde üst düzey görevlerde bulunmuş kişiler arasından iki yıl için görevlendirilecek, bir başkan, bir başkan yardımcısı, bir </w:t>
      </w:r>
      <w:proofErr w:type="gramStart"/>
      <w:r w:rsidRPr="00111D17">
        <w:rPr>
          <w:rFonts w:ascii="Calibri" w:eastAsia="Times New Roman" w:hAnsi="Calibri" w:cs="Times New Roman"/>
          <w:color w:val="1C283D"/>
          <w:lang w:eastAsia="tr-TR"/>
        </w:rPr>
        <w:t>raportör</w:t>
      </w:r>
      <w:proofErr w:type="gramEnd"/>
      <w:r w:rsidRPr="00111D17">
        <w:rPr>
          <w:rFonts w:ascii="Calibri" w:eastAsia="Times New Roman" w:hAnsi="Calibri" w:cs="Times New Roman"/>
          <w:color w:val="1C283D"/>
          <w:lang w:eastAsia="tr-TR"/>
        </w:rPr>
        <w:t> ile dört üyeden oluşur.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(2) Kurul, görevlerini yerine getirirken bilirkişi veya uzman görevlendirebilir.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(3) Kurulun sekretarya hizmetleri Daire Başkanlığınca yürütülür.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(4) Kurul, çalışmalarında Bakana karşı sorumludur.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(5) Genel Müdürlük ve federasyonlar, Kurulun çalışma alanı ile ilgili olarak her türlü bilgi ve belgeyi sağlar.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Kurulun görev ve yetkileri</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6</w:t>
      </w:r>
      <w:r w:rsidRPr="00111D17">
        <w:rPr>
          <w:rFonts w:ascii="Calibri" w:eastAsia="Times New Roman" w:hAnsi="Calibri" w:cs="Times New Roman"/>
          <w:b/>
          <w:bCs/>
          <w:color w:val="1C283D"/>
          <w:vertAlign w:val="superscript"/>
          <w:lang w:eastAsia="tr-TR"/>
        </w:rPr>
        <w:t>(1)</w:t>
      </w:r>
      <w:r w:rsidRPr="00111D17">
        <w:rPr>
          <w:rFonts w:ascii="Calibri" w:eastAsia="Times New Roman" w:hAnsi="Calibri" w:cs="Times New Roman"/>
          <w:color w:val="1C283D"/>
          <w:lang w:eastAsia="tr-TR"/>
        </w:rPr>
        <w:t> – (1) Kurulun görev ve yetkileri şunlardır;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a) Federasyonların Bakana verecekleri taahhütnamenin esaslarını belirlemek ve </w:t>
      </w:r>
      <w:proofErr w:type="gramStart"/>
      <w:r w:rsidRPr="00111D17">
        <w:rPr>
          <w:rFonts w:ascii="Calibri" w:eastAsia="Times New Roman" w:hAnsi="Calibri" w:cs="Times New Roman"/>
          <w:color w:val="1C283D"/>
          <w:lang w:eastAsia="tr-TR"/>
        </w:rPr>
        <w:t>yıl sonu</w:t>
      </w:r>
      <w:proofErr w:type="gramEnd"/>
      <w:r w:rsidRPr="00111D17">
        <w:rPr>
          <w:rFonts w:ascii="Calibri" w:eastAsia="Times New Roman" w:hAnsi="Calibri" w:cs="Times New Roman"/>
          <w:color w:val="1C283D"/>
          <w:lang w:eastAsia="tr-TR"/>
        </w:rPr>
        <w:t> itibarıyla taahhütlerine uyup uymadıklarını değerlendirerek Bakana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b) Federasyonlar tarafından hazırlanan </w:t>
      </w:r>
      <w:proofErr w:type="spellStart"/>
      <w:r w:rsidRPr="00111D17">
        <w:rPr>
          <w:rFonts w:ascii="Calibri" w:eastAsia="Times New Roman" w:hAnsi="Calibri" w:cs="Times New Roman"/>
          <w:color w:val="1C283D"/>
          <w:lang w:eastAsia="tr-TR"/>
        </w:rPr>
        <w:t>master</w:t>
      </w:r>
      <w:proofErr w:type="spellEnd"/>
      <w:r w:rsidRPr="00111D17">
        <w:rPr>
          <w:rFonts w:ascii="Calibri" w:eastAsia="Times New Roman" w:hAnsi="Calibri" w:cs="Times New Roman"/>
          <w:color w:val="1C283D"/>
          <w:lang w:eastAsia="tr-TR"/>
        </w:rPr>
        <w:t> planını, performans ölçütlerini, amaç ve hedeflerini incelemek, uluslararası federasyonların statü ve talimatlarını gözeterek hizmet kalite standartlarını belirlemek,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c) Bakana sunulan taahhütname ile federasyonların </w:t>
      </w:r>
      <w:proofErr w:type="spellStart"/>
      <w:r w:rsidRPr="00111D17">
        <w:rPr>
          <w:rFonts w:ascii="Calibri" w:eastAsia="Times New Roman" w:hAnsi="Calibri" w:cs="Times New Roman"/>
          <w:color w:val="1C283D"/>
          <w:lang w:eastAsia="tr-TR"/>
        </w:rPr>
        <w:t>master</w:t>
      </w:r>
      <w:proofErr w:type="spellEnd"/>
      <w:r w:rsidRPr="00111D17">
        <w:rPr>
          <w:rFonts w:ascii="Calibri" w:eastAsia="Times New Roman" w:hAnsi="Calibri" w:cs="Times New Roman"/>
          <w:color w:val="1C283D"/>
          <w:lang w:eastAsia="tr-TR"/>
        </w:rPr>
        <w:t> planı ve performans ölçütlerine uyulup uyulmadığı konusunda altı ayda bir Bakana rapor vermek,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ç) </w:t>
      </w:r>
      <w:r w:rsidRPr="00111D17">
        <w:rPr>
          <w:rFonts w:ascii="Calibri" w:eastAsia="Times New Roman" w:hAnsi="Calibri" w:cs="Times New Roman"/>
          <w:b/>
          <w:bCs/>
          <w:color w:val="1C283D"/>
          <w:lang w:eastAsia="tr-TR"/>
        </w:rPr>
        <w:t>(Ek: RG-</w:t>
      </w:r>
      <w:proofErr w:type="gramStart"/>
      <w:r w:rsidRPr="00111D17">
        <w:rPr>
          <w:rFonts w:ascii="Calibri" w:eastAsia="Times New Roman" w:hAnsi="Calibri" w:cs="Times New Roman"/>
          <w:b/>
          <w:bCs/>
          <w:color w:val="1C283D"/>
          <w:lang w:eastAsia="tr-TR"/>
        </w:rPr>
        <w:t>14/10/2013</w:t>
      </w:r>
      <w:proofErr w:type="gramEnd"/>
      <w:r w:rsidRPr="00111D17">
        <w:rPr>
          <w:rFonts w:ascii="Calibri" w:eastAsia="Times New Roman" w:hAnsi="Calibri" w:cs="Times New Roman"/>
          <w:b/>
          <w:bCs/>
          <w:color w:val="1C283D"/>
          <w:lang w:eastAsia="tr-TR"/>
        </w:rPr>
        <w:t>-28795)</w:t>
      </w:r>
      <w:r w:rsidRPr="00111D17">
        <w:rPr>
          <w:rFonts w:ascii="Calibri" w:eastAsia="Times New Roman" w:hAnsi="Calibri" w:cs="Times New Roman"/>
          <w:b/>
          <w:bCs/>
          <w:color w:val="1C283D"/>
          <w:vertAlign w:val="superscript"/>
          <w:lang w:eastAsia="tr-TR"/>
        </w:rPr>
        <w:t>(1)</w:t>
      </w:r>
      <w:r w:rsidRPr="00111D17">
        <w:rPr>
          <w:rFonts w:ascii="Calibri" w:eastAsia="Times New Roman" w:hAnsi="Calibri" w:cs="Times New Roman"/>
          <w:b/>
          <w:bCs/>
          <w:color w:val="1C283D"/>
          <w:lang w:eastAsia="tr-TR"/>
        </w:rPr>
        <w:t> </w:t>
      </w:r>
      <w:r w:rsidRPr="00111D17">
        <w:rPr>
          <w:rFonts w:ascii="Calibri" w:eastAsia="Times New Roman" w:hAnsi="Calibri" w:cs="Times New Roman"/>
          <w:color w:val="1C283D"/>
          <w:lang w:eastAsia="tr-TR"/>
        </w:rPr>
        <w:t>Dopingle mücadele ile ilgili olarak bağımsız federasyonların çalışmalarını değerlendirerek gerekli tedbiri almayan federasyonlara ilişkin raporunu Bakanlık Makamına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d)</w:t>
      </w:r>
      <w:r w:rsidRPr="00111D17">
        <w:rPr>
          <w:rFonts w:ascii="Calibri" w:eastAsia="Times New Roman" w:hAnsi="Calibri" w:cs="Times New Roman"/>
          <w:color w:val="1C283D"/>
          <w:vertAlign w:val="superscript"/>
          <w:lang w:eastAsia="tr-TR"/>
        </w:rPr>
        <w:t>(1)</w:t>
      </w:r>
      <w:r w:rsidRPr="00111D17">
        <w:rPr>
          <w:rFonts w:ascii="Calibri" w:eastAsia="Times New Roman" w:hAnsi="Calibri" w:cs="Times New Roman"/>
          <w:color w:val="1C283D"/>
          <w:lang w:eastAsia="tr-TR"/>
        </w:rPr>
        <w:t> Kurul tarafından performansı yeterli görülmeyen ve olağanüstü genel kurula gitmesi gerekli görülen federasyon hakkında Bakana rapor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lastRenderedPageBreak/>
        <w:t>e)</w:t>
      </w:r>
      <w:r w:rsidRPr="00111D17">
        <w:rPr>
          <w:rFonts w:ascii="Calibri" w:eastAsia="Times New Roman" w:hAnsi="Calibri" w:cs="Times New Roman"/>
          <w:color w:val="1C283D"/>
          <w:vertAlign w:val="superscript"/>
          <w:lang w:eastAsia="tr-TR"/>
        </w:rPr>
        <w:t>(1)</w:t>
      </w:r>
      <w:r w:rsidRPr="00111D17">
        <w:rPr>
          <w:rFonts w:ascii="Calibri" w:eastAsia="Times New Roman" w:hAnsi="Calibri" w:cs="Times New Roman"/>
          <w:color w:val="1C283D"/>
          <w:lang w:eastAsia="tr-TR"/>
        </w:rPr>
        <w:t> Federasyonların </w:t>
      </w:r>
      <w:proofErr w:type="gramStart"/>
      <w:r w:rsidRPr="00111D17">
        <w:rPr>
          <w:rFonts w:ascii="Calibri" w:eastAsia="Times New Roman" w:hAnsi="Calibri" w:cs="Times New Roman"/>
          <w:color w:val="1C283D"/>
          <w:lang w:eastAsia="tr-TR"/>
        </w:rPr>
        <w:t>sponsorlardan</w:t>
      </w:r>
      <w:proofErr w:type="gramEnd"/>
      <w:r w:rsidRPr="00111D17">
        <w:rPr>
          <w:rFonts w:ascii="Calibri" w:eastAsia="Times New Roman" w:hAnsi="Calibri" w:cs="Times New Roman"/>
          <w:color w:val="1C283D"/>
          <w:lang w:eastAsia="tr-TR"/>
        </w:rPr>
        <w:t> yararlanma durumlarını değerlendirmek,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f)</w:t>
      </w:r>
      <w:r w:rsidRPr="00111D17">
        <w:rPr>
          <w:rFonts w:ascii="Calibri" w:eastAsia="Times New Roman" w:hAnsi="Calibri" w:cs="Times New Roman"/>
          <w:color w:val="1C283D"/>
          <w:vertAlign w:val="superscript"/>
          <w:lang w:eastAsia="tr-TR"/>
        </w:rPr>
        <w:t>(1)</w:t>
      </w:r>
      <w:r w:rsidRPr="00111D17">
        <w:rPr>
          <w:rFonts w:ascii="Calibri" w:eastAsia="Times New Roman" w:hAnsi="Calibri" w:cs="Times New Roman"/>
          <w:color w:val="1C283D"/>
          <w:lang w:eastAsia="tr-TR"/>
        </w:rPr>
        <w:t> Federasyon hizmetlerinin geliştirilmesi amacıyla görevlendirilen bilirkişi veya uzmanların hazırlayacakları raporları değerlendirmek,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g)</w:t>
      </w:r>
      <w:r w:rsidRPr="00111D17">
        <w:rPr>
          <w:rFonts w:ascii="Calibri" w:eastAsia="Times New Roman" w:hAnsi="Calibri" w:cs="Times New Roman"/>
          <w:color w:val="1C283D"/>
          <w:vertAlign w:val="superscript"/>
          <w:lang w:eastAsia="tr-TR"/>
        </w:rPr>
        <w:t>(1)</w:t>
      </w:r>
      <w:r w:rsidRPr="00111D17">
        <w:rPr>
          <w:rFonts w:ascii="Calibri" w:eastAsia="Times New Roman" w:hAnsi="Calibri" w:cs="Times New Roman"/>
          <w:color w:val="1C283D"/>
          <w:lang w:eastAsia="tr-TR"/>
        </w:rPr>
        <w:t> Federasyonların sportif değerlendirme ve performans gelişimi ile ilgili olarak Kurulca uygun görülen konularda görüş, öneri, tespit ve değerlendirmelerde bulunmak,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ğ)</w:t>
      </w:r>
      <w:r w:rsidRPr="00111D17">
        <w:rPr>
          <w:rFonts w:ascii="Calibri" w:eastAsia="Times New Roman" w:hAnsi="Calibri" w:cs="Times New Roman"/>
          <w:color w:val="1C283D"/>
          <w:vertAlign w:val="superscript"/>
          <w:lang w:eastAsia="tr-TR"/>
        </w:rPr>
        <w:t>(1)</w:t>
      </w:r>
      <w:r w:rsidRPr="00111D17">
        <w:rPr>
          <w:rFonts w:ascii="Calibri" w:eastAsia="Times New Roman" w:hAnsi="Calibri" w:cs="Times New Roman"/>
          <w:color w:val="1C283D"/>
          <w:lang w:eastAsia="tr-TR"/>
        </w:rPr>
        <w:t> Bilirkişi ve uzmanları görevlendirmek ve ücretlerini tespit etmek,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h)</w:t>
      </w:r>
      <w:r w:rsidRPr="00111D17">
        <w:rPr>
          <w:rFonts w:ascii="Calibri" w:eastAsia="Times New Roman" w:hAnsi="Calibri" w:cs="Times New Roman"/>
          <w:color w:val="1C283D"/>
          <w:vertAlign w:val="superscript"/>
          <w:lang w:eastAsia="tr-TR"/>
        </w:rPr>
        <w:t>(1)</w:t>
      </w:r>
      <w:r w:rsidRPr="00111D17">
        <w:rPr>
          <w:rFonts w:ascii="Calibri" w:eastAsia="Times New Roman" w:hAnsi="Calibri" w:cs="Times New Roman"/>
          <w:color w:val="1C283D"/>
          <w:lang w:eastAsia="tr-TR"/>
        </w:rPr>
        <w:t> Bakan tarafından verilen diğer görevleri yapmak.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Kurul başkanının görev ve yetkileri</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7</w:t>
      </w:r>
      <w:r w:rsidRPr="00111D17">
        <w:rPr>
          <w:rFonts w:ascii="Calibri" w:eastAsia="Times New Roman" w:hAnsi="Calibri" w:cs="Times New Roman"/>
          <w:color w:val="1C283D"/>
          <w:lang w:eastAsia="tr-TR"/>
        </w:rPr>
        <w:t> – (1) Kurul Başkanının görev ve yetkileri şunlardır;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a) Kurul toplantısıyla ilgili gündemi belirlemek,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b) Kurulu toplantıya çağırmak,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c) Toplantıya başkanlık etmek, değerlendirmelerde bulunmak ve oy kullanmak,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ç) Kurulda alınan kararlar doğrultusunda hazırlanan raporları Bakana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d) Kurul kararıyla belirlenen kurul üyesi, uzman ve bilirkişileri görevlendirmek,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e) Bakan tarafından verilen diğer görevleri yapmak.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Başkan yardımcısının görev ve yetkileri</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8</w:t>
      </w:r>
      <w:r w:rsidRPr="00111D17">
        <w:rPr>
          <w:rFonts w:ascii="Calibri" w:eastAsia="Times New Roman" w:hAnsi="Calibri" w:cs="Times New Roman"/>
          <w:color w:val="1C283D"/>
          <w:lang w:eastAsia="tr-TR"/>
        </w:rPr>
        <w:t> – (1) Kurul Başkan yardımcısının görev ve yetkileri şunlardır;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a) Kurul toplantılarına katılmak, değerlendirmelerde bulunmak ve oy kullanmak,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b) Başkanın bulunmadığı hallerde toplantıya Başkanlık etmek.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Raportörün görevleri</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9</w:t>
      </w:r>
      <w:r w:rsidRPr="00111D17">
        <w:rPr>
          <w:rFonts w:ascii="Calibri" w:eastAsia="Times New Roman" w:hAnsi="Calibri" w:cs="Times New Roman"/>
          <w:color w:val="1C283D"/>
          <w:lang w:eastAsia="tr-TR"/>
        </w:rPr>
        <w:t> – (1) Raportörün görev ve yetkileri şunlardır;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a) Kurulda alınan kararları yazmak ve üyelere imzalatmak,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b) Kurul ile sekretarya arasında koordine sağlamak,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c) Kurul Başkanının vereceği görevleri yapmak.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Sekretarya hizmetleri</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10</w:t>
      </w:r>
      <w:r w:rsidRPr="00111D17">
        <w:rPr>
          <w:rFonts w:ascii="Calibri" w:eastAsia="Times New Roman" w:hAnsi="Calibri" w:cs="Times New Roman"/>
          <w:color w:val="1C283D"/>
          <w:lang w:eastAsia="tr-TR"/>
        </w:rPr>
        <w:t> – (1) Kurul sekretaryasının görevleri şunlardır;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a) Kurulun çalışmalarında ilgili birim ve kurumlarla yazışmak ve uygulamada karşılaşılan sorunların çözümünü sağlamak,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b) Kurulun ihtiyaç duyduğu araç, gereç ve malzemeleri temin etmek, gerekli görülen büro personelinin görevlendirilmesini sağlamak,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c) Kurul üyelerinin huzur ücreti ile Kurulca görevlendirilecek bilirkişi ve uzmanların ücretlerini ödemek,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ç) Federasyonların alt yapı harcamaları ile ilgili bilgi ve belgeleri temin ederek Kurula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d) Gelecekte başarılı olması düşünülen sporcuların yetişmesi için alınan tedbirlere ilişkin bilgi ve belgeleri temin ederek Kurula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e) Federasyonların; </w:t>
      </w:r>
      <w:proofErr w:type="gramStart"/>
      <w:r w:rsidRPr="00111D17">
        <w:rPr>
          <w:rFonts w:ascii="Calibri" w:eastAsia="Times New Roman" w:hAnsi="Calibri" w:cs="Times New Roman"/>
          <w:color w:val="1C283D"/>
          <w:lang w:eastAsia="tr-TR"/>
        </w:rPr>
        <w:t>antrenör</w:t>
      </w:r>
      <w:proofErr w:type="gramEnd"/>
      <w:r w:rsidRPr="00111D17">
        <w:rPr>
          <w:rFonts w:ascii="Calibri" w:eastAsia="Times New Roman" w:hAnsi="Calibri" w:cs="Times New Roman"/>
          <w:color w:val="1C283D"/>
          <w:lang w:eastAsia="tr-TR"/>
        </w:rPr>
        <w:t>, hakem, gözlemci, temsilci ve diğer spor elemanlarına yönelik kurs, seminer ve diğer bilimsel spor etkinlikleriyle ilgili bilgi ve belgeleri temin ederek Kurula sunmak,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f) Federasyonların hizmet ve faaliyetleriyle ilgili olarak gerekli olan talimat ve diğer mevzuatı hazırlayıp hazırlamadıklarını takip ederek Kurula bildirmek,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g) Kurulun arşiv ve diğer hizmetlerini yürütmek,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ğ) Bakan tarafından verilen diğer görevleri yapmak.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Kurulun toplanması</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11</w:t>
      </w:r>
      <w:r w:rsidRPr="00111D17">
        <w:rPr>
          <w:rFonts w:ascii="Calibri" w:eastAsia="Times New Roman" w:hAnsi="Calibri" w:cs="Times New Roman"/>
          <w:color w:val="1C283D"/>
          <w:lang w:eastAsia="tr-TR"/>
        </w:rPr>
        <w:t> – (1) Kurul, Başkanın veya mazereti halinde Başkan Yardımcısının çağrısı üzerine en az beş üye ile toplanır. Başkan ve Başkan Yardımcısının mazereti halinde, Kurula en yaşlı üye başkanlık eder. Mazeretsiz olarak üst üste dört toplantıya katılmayan üyelerin üyeliği sona erer.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(2) Üyeliği herhangi bir nedenle sona eren üyenin yerine kalan süreyi tamamlamak üzere yeni üye görevlendirilir.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(3) Kararlar, toplantıya katılanların salt çoğunluğuyla alınır. Oyların eşitliği halinde Başkanın kullandığı oyun tarafı çoğunluk sayılır.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(4) Kurul ihtiyaç duyduğunda görüşlerine başvurmak üzere ilgili federasyon yetkililerini veya konusunda uzman kişileri davet eder.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Ücret</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lastRenderedPageBreak/>
        <w:t>MADDE 12</w:t>
      </w:r>
      <w:r w:rsidRPr="00111D17">
        <w:rPr>
          <w:rFonts w:ascii="Calibri" w:eastAsia="Times New Roman" w:hAnsi="Calibri" w:cs="Times New Roman"/>
          <w:color w:val="1C283D"/>
          <w:lang w:eastAsia="tr-TR"/>
        </w:rPr>
        <w:t> – (1) Kurul üyelerine bir ayda dört toplantıyı geçmemek üzere, görev yapılan her gün için uhdesinde kamu görevi bulunanlar bakımından (5000), bulunmayanlar bakımından (6000) gösterge rakamının Devlet memuruna uygulanan aylık katsayıyla çarpımı sonucunda bulunulacak miktarı geçmemek üzere huzur ücreti ödenir.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(2) Kurul tarafından görevlendirilen bilirkişi ve uzmanların ücretleri Genel Müdürlükçe ödenir.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Kararlar ve rapor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13</w:t>
      </w:r>
      <w:r w:rsidRPr="00111D17">
        <w:rPr>
          <w:rFonts w:ascii="Calibri" w:eastAsia="Times New Roman" w:hAnsi="Calibri" w:cs="Times New Roman"/>
          <w:color w:val="1C283D"/>
          <w:lang w:eastAsia="tr-TR"/>
        </w:rPr>
        <w:t> – (1) Toplantılarda alınan kararlar hazır bulunanlar tarafından imzalanır. Karar metninde toplantıya katılanlar ile katılmayanların isimleri belirtilir ve karara katılmayanların karşı görüşleri yazılır. Karar defterinin her sayfası Başkan ve üyeler tarafından imzalanır.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(2) Kurul tarafından hazırlanacak raporlar Bakanlık Makamına sunulur.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 </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ÜÇÜNCÜ BÖLÜM</w:t>
      </w:r>
    </w:p>
    <w:p w:rsidR="00111D17" w:rsidRPr="00111D17" w:rsidRDefault="00111D17" w:rsidP="00111D17">
      <w:pPr>
        <w:shd w:val="clear" w:color="auto" w:fill="FFFFFF"/>
        <w:spacing w:after="0" w:line="240" w:lineRule="auto"/>
        <w:ind w:firstLine="567"/>
        <w:jc w:val="center"/>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Son Hükümler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Yürürlük</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14</w:t>
      </w:r>
      <w:r w:rsidRPr="00111D17">
        <w:rPr>
          <w:rFonts w:ascii="Calibri" w:eastAsia="Times New Roman" w:hAnsi="Calibri" w:cs="Times New Roman"/>
          <w:color w:val="1C283D"/>
          <w:lang w:eastAsia="tr-TR"/>
        </w:rPr>
        <w:t> – (1) Bu Yönetmelik yayımı tarihinde yürürlüğe girer.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Yürütme</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b/>
          <w:bCs/>
          <w:color w:val="1C283D"/>
          <w:lang w:eastAsia="tr-TR"/>
        </w:rPr>
        <w:t>MADDE 15</w:t>
      </w:r>
      <w:r w:rsidRPr="00111D17">
        <w:rPr>
          <w:rFonts w:ascii="Calibri" w:eastAsia="Times New Roman" w:hAnsi="Calibri" w:cs="Times New Roman"/>
          <w:color w:val="1C283D"/>
          <w:lang w:eastAsia="tr-TR"/>
        </w:rPr>
        <w:t> – (1) Bu Yönetmelik hükümlerini Spor Genel Müdürü yürütür.</w:t>
      </w:r>
    </w:p>
    <w:p w:rsidR="00111D17" w:rsidRPr="00111D17" w:rsidRDefault="00111D17" w:rsidP="00111D17">
      <w:pPr>
        <w:shd w:val="clear" w:color="auto" w:fill="FFFFFF"/>
        <w:spacing w:after="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 </w:t>
      </w:r>
    </w:p>
    <w:p w:rsidR="00111D17" w:rsidRPr="00111D17" w:rsidRDefault="00111D17" w:rsidP="00111D17">
      <w:pPr>
        <w:shd w:val="clear" w:color="auto" w:fill="FFFFFF"/>
        <w:spacing w:after="12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 </w:t>
      </w:r>
    </w:p>
    <w:p w:rsidR="00111D17" w:rsidRPr="00111D17" w:rsidRDefault="00111D17" w:rsidP="00111D17">
      <w:pPr>
        <w:shd w:val="clear" w:color="auto" w:fill="FFFFFF"/>
        <w:spacing w:after="12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w:t>
      </w:r>
    </w:p>
    <w:p w:rsidR="00111D17" w:rsidRPr="00111D17" w:rsidRDefault="00111D17" w:rsidP="00111D17">
      <w:pPr>
        <w:shd w:val="clear" w:color="auto" w:fill="FFFFFF"/>
        <w:spacing w:after="12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i/>
          <w:iCs/>
          <w:color w:val="1C283D"/>
          <w:vertAlign w:val="superscript"/>
          <w:lang w:eastAsia="tr-TR"/>
        </w:rPr>
        <w:t>(1)</w:t>
      </w:r>
      <w:r w:rsidRPr="00111D17">
        <w:rPr>
          <w:rFonts w:ascii="Calibri" w:eastAsia="Times New Roman" w:hAnsi="Calibri" w:cs="Times New Roman"/>
          <w:i/>
          <w:iCs/>
          <w:color w:val="1C283D"/>
          <w:lang w:eastAsia="tr-TR"/>
        </w:rPr>
        <w:t> </w:t>
      </w:r>
      <w:proofErr w:type="gramStart"/>
      <w:r w:rsidRPr="00111D17">
        <w:rPr>
          <w:rFonts w:ascii="Calibri" w:eastAsia="Times New Roman" w:hAnsi="Calibri" w:cs="Times New Roman"/>
          <w:i/>
          <w:iCs/>
          <w:color w:val="1C283D"/>
          <w:lang w:eastAsia="tr-TR"/>
        </w:rPr>
        <w:t>14/10/2013</w:t>
      </w:r>
      <w:proofErr w:type="gramEnd"/>
      <w:r w:rsidRPr="00111D17">
        <w:rPr>
          <w:rFonts w:ascii="Calibri" w:eastAsia="Times New Roman" w:hAnsi="Calibri" w:cs="Times New Roman"/>
          <w:i/>
          <w:iCs/>
          <w:color w:val="1C283D"/>
          <w:lang w:eastAsia="tr-TR"/>
        </w:rPr>
        <w:t> tarihli ve 28795 sayılı Resmî Gazete’de yayımlanan Sportif Değerlendirme ve Geliştirme Kurulu Yönetmeliğinde Değişiklik Yapılmasına Dair Yönetmelikle bu maddenin birinci fıkrasının (c) bendinden sonra gelmek üzere (ç) bendi eklenmiş ve diğer bentler buna göre teselsül ettirilmiştir.</w:t>
      </w:r>
    </w:p>
    <w:p w:rsidR="00111D17" w:rsidRPr="00111D17" w:rsidRDefault="00111D17" w:rsidP="00111D17">
      <w:pPr>
        <w:shd w:val="clear" w:color="auto" w:fill="FFFFFF"/>
        <w:spacing w:after="120" w:line="240" w:lineRule="auto"/>
        <w:ind w:firstLine="567"/>
        <w:jc w:val="both"/>
        <w:rPr>
          <w:rFonts w:ascii="Calibri" w:eastAsia="Times New Roman" w:hAnsi="Calibri" w:cs="Times New Roman"/>
          <w:color w:val="1C283D"/>
          <w:lang w:eastAsia="tr-TR"/>
        </w:rPr>
      </w:pPr>
      <w:r w:rsidRPr="00111D17">
        <w:rPr>
          <w:rFonts w:ascii="Calibri" w:eastAsia="Times New Roman" w:hAnsi="Calibri" w:cs="Times New Roman"/>
          <w:i/>
          <w:iCs/>
          <w:color w:val="1C283D"/>
          <w:lang w:eastAsia="tr-TR"/>
        </w:rPr>
        <w:t> </w:t>
      </w:r>
    </w:p>
    <w:p w:rsidR="00111D17" w:rsidRPr="00111D17" w:rsidRDefault="00111D17" w:rsidP="00111D17">
      <w:pPr>
        <w:shd w:val="clear" w:color="auto" w:fill="FFFFFF"/>
        <w:spacing w:after="0" w:line="240" w:lineRule="auto"/>
        <w:jc w:val="both"/>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 </w:t>
      </w:r>
    </w:p>
    <w:tbl>
      <w:tblPr>
        <w:tblW w:w="0" w:type="auto"/>
        <w:jc w:val="center"/>
        <w:tblInd w:w="-195" w:type="dxa"/>
        <w:tblCellMar>
          <w:left w:w="0" w:type="dxa"/>
          <w:right w:w="0" w:type="dxa"/>
        </w:tblCellMar>
        <w:tblLook w:val="04A0"/>
      </w:tblPr>
      <w:tblGrid>
        <w:gridCol w:w="663"/>
        <w:gridCol w:w="3600"/>
        <w:gridCol w:w="3600"/>
      </w:tblGrid>
      <w:tr w:rsidR="00111D17" w:rsidRPr="00111D17" w:rsidTr="00111D17">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D17" w:rsidRPr="00111D17" w:rsidRDefault="00111D17" w:rsidP="00111D17">
            <w:pPr>
              <w:spacing w:after="0" w:line="240" w:lineRule="auto"/>
              <w:rPr>
                <w:rFonts w:ascii="Calibri" w:eastAsia="Times New Roman" w:hAnsi="Calibri" w:cs="Times New Roman"/>
                <w:lang w:eastAsia="tr-TR"/>
              </w:rPr>
            </w:pPr>
            <w:r w:rsidRPr="00111D17">
              <w:rPr>
                <w:rFonts w:ascii="Calibri" w:eastAsia="Times New Roman" w:hAnsi="Calibri"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b/>
                <w:bCs/>
                <w:lang w:eastAsia="tr-TR"/>
              </w:rPr>
              <w:t>Yönetmeliğin Yayımlandığı Resmî Gazete’nin</w:t>
            </w:r>
          </w:p>
        </w:tc>
      </w:tr>
      <w:tr w:rsidR="00111D17" w:rsidRPr="00111D17" w:rsidTr="00111D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1D17" w:rsidRPr="00111D17" w:rsidRDefault="00111D17" w:rsidP="00111D17">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b/>
                <w:bCs/>
                <w:lang w:eastAsia="tr-TR"/>
              </w:rPr>
              <w:t>Sayısı</w:t>
            </w:r>
          </w:p>
        </w:tc>
      </w:tr>
      <w:tr w:rsidR="00111D17" w:rsidRPr="00111D17" w:rsidTr="00111D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1D17" w:rsidRPr="00111D17" w:rsidRDefault="00111D17" w:rsidP="00111D17">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proofErr w:type="gramStart"/>
            <w:r w:rsidRPr="00111D17">
              <w:rPr>
                <w:rFonts w:ascii="Calibri" w:eastAsia="Times New Roman" w:hAnsi="Calibri" w:cs="Times New Roman"/>
                <w:lang w:eastAsia="tr-TR"/>
              </w:rPr>
              <w:t>13/7/2012</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lang w:eastAsia="tr-TR"/>
              </w:rPr>
              <w:t>28352</w:t>
            </w:r>
          </w:p>
        </w:tc>
      </w:tr>
      <w:tr w:rsidR="00111D17" w:rsidRPr="00111D17" w:rsidTr="00111D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1D17" w:rsidRPr="00111D17" w:rsidRDefault="00111D17" w:rsidP="00111D17">
            <w:pPr>
              <w:spacing w:after="0" w:line="240" w:lineRule="auto"/>
              <w:rPr>
                <w:rFonts w:ascii="Calibri" w:eastAsia="Times New Roman" w:hAnsi="Calibri" w:cs="Times New Roman"/>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b/>
                <w:bCs/>
                <w:lang w:eastAsia="tr-TR"/>
              </w:rPr>
              <w:t>Yönetmelikte Değişiklik Yapan Yönetmeliklerin Yayımlandığı Resmî Gazetelerin</w:t>
            </w:r>
          </w:p>
        </w:tc>
      </w:tr>
      <w:tr w:rsidR="00111D17" w:rsidRPr="00111D17" w:rsidTr="00111D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1D17" w:rsidRPr="00111D17" w:rsidRDefault="00111D17" w:rsidP="00111D17">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b/>
                <w:bCs/>
                <w:lang w:eastAsia="tr-TR"/>
              </w:rPr>
              <w:t>Sayısı</w:t>
            </w:r>
          </w:p>
        </w:tc>
      </w:tr>
      <w:tr w:rsidR="00111D17" w:rsidRPr="00111D17" w:rsidTr="00111D17">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D17" w:rsidRPr="00111D17" w:rsidRDefault="00111D17" w:rsidP="00111D17">
            <w:pPr>
              <w:spacing w:after="0" w:line="240" w:lineRule="auto"/>
              <w:rPr>
                <w:rFonts w:ascii="Calibri" w:eastAsia="Times New Roman" w:hAnsi="Calibri" w:cs="Times New Roman"/>
                <w:lang w:eastAsia="tr-TR"/>
              </w:rPr>
            </w:pPr>
            <w:r w:rsidRPr="00111D17">
              <w:rPr>
                <w:rFonts w:ascii="Calibri" w:eastAsia="Times New Roman" w:hAnsi="Calibri" w:cs="Times New Roman"/>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proofErr w:type="gramStart"/>
            <w:r w:rsidRPr="00111D17">
              <w:rPr>
                <w:rFonts w:ascii="Calibri" w:eastAsia="Times New Roman" w:hAnsi="Calibri" w:cs="Times New Roman"/>
                <w:lang w:eastAsia="tr-TR"/>
              </w:rPr>
              <w:t>14/10/2013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1D17" w:rsidRPr="00111D17" w:rsidRDefault="00111D17" w:rsidP="00111D17">
            <w:pPr>
              <w:spacing w:after="0" w:line="240" w:lineRule="auto"/>
              <w:jc w:val="center"/>
              <w:rPr>
                <w:rFonts w:ascii="Calibri" w:eastAsia="Times New Roman" w:hAnsi="Calibri" w:cs="Times New Roman"/>
                <w:lang w:eastAsia="tr-TR"/>
              </w:rPr>
            </w:pPr>
            <w:r w:rsidRPr="00111D17">
              <w:rPr>
                <w:rFonts w:ascii="Calibri" w:eastAsia="Times New Roman" w:hAnsi="Calibri" w:cs="Times New Roman"/>
                <w:lang w:eastAsia="tr-TR"/>
              </w:rPr>
              <w:t>28795</w:t>
            </w:r>
          </w:p>
        </w:tc>
      </w:tr>
    </w:tbl>
    <w:p w:rsidR="00111D17" w:rsidRPr="00111D17" w:rsidRDefault="00111D17" w:rsidP="00111D17">
      <w:pPr>
        <w:shd w:val="clear" w:color="auto" w:fill="FFFFFF"/>
        <w:spacing w:after="0" w:line="240" w:lineRule="auto"/>
        <w:jc w:val="center"/>
        <w:rPr>
          <w:rFonts w:ascii="Calibri" w:eastAsia="Times New Roman" w:hAnsi="Calibri" w:cs="Times New Roman"/>
          <w:color w:val="1C283D"/>
          <w:lang w:eastAsia="tr-TR"/>
        </w:rPr>
      </w:pPr>
      <w:r w:rsidRPr="00111D17">
        <w:rPr>
          <w:rFonts w:ascii="Calibri" w:eastAsia="Times New Roman" w:hAnsi="Calibri" w:cs="Times New Roman"/>
          <w:color w:val="1C283D"/>
          <w:lang w:eastAsia="tr-TR"/>
        </w:rPr>
        <w:t> </w:t>
      </w:r>
    </w:p>
    <w:p w:rsidR="00111D17" w:rsidRPr="00111D17" w:rsidRDefault="00111D17" w:rsidP="00111D17">
      <w:pPr>
        <w:shd w:val="clear" w:color="auto" w:fill="FFFFFF"/>
        <w:spacing w:after="0" w:line="215" w:lineRule="atLeast"/>
        <w:jc w:val="right"/>
        <w:rPr>
          <w:rFonts w:ascii="Arial" w:eastAsia="Times New Roman" w:hAnsi="Arial" w:cs="Arial"/>
          <w:b/>
          <w:bCs/>
          <w:color w:val="808080"/>
          <w:sz w:val="11"/>
          <w:szCs w:val="11"/>
          <w:lang w:eastAsia="tr-TR"/>
        </w:rPr>
      </w:pPr>
      <w:r w:rsidRPr="00111D17">
        <w:rPr>
          <w:rFonts w:ascii="Arial" w:eastAsia="Times New Roman" w:hAnsi="Arial" w:cs="Arial"/>
          <w:b/>
          <w:bCs/>
          <w:color w:val="808080"/>
          <w:sz w:val="11"/>
          <w:szCs w:val="11"/>
          <w:lang w:eastAsia="tr-TR"/>
        </w:rPr>
        <w:t>Say</w:t>
      </w:r>
    </w:p>
    <w:p w:rsidR="00961886" w:rsidRDefault="00111D17"/>
    <w:sectPr w:rsidR="00961886" w:rsidSect="000219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D17"/>
    <w:rsid w:val="0002191D"/>
    <w:rsid w:val="00111D17"/>
    <w:rsid w:val="009D7248"/>
    <w:rsid w:val="00DF08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11D17"/>
  </w:style>
  <w:style w:type="character" w:customStyle="1" w:styleId="grame">
    <w:name w:val="grame"/>
    <w:basedOn w:val="VarsaylanParagrafYazTipi"/>
    <w:rsid w:val="00111D17"/>
  </w:style>
  <w:style w:type="character" w:customStyle="1" w:styleId="spelle">
    <w:name w:val="spelle"/>
    <w:basedOn w:val="VarsaylanParagrafYazTipi"/>
    <w:rsid w:val="00111D17"/>
  </w:style>
</w:styles>
</file>

<file path=word/webSettings.xml><?xml version="1.0" encoding="utf-8"?>
<w:webSettings xmlns:r="http://schemas.openxmlformats.org/officeDocument/2006/relationships" xmlns:w="http://schemas.openxmlformats.org/wordprocessingml/2006/main">
  <w:divs>
    <w:div w:id="1045639180">
      <w:bodyDiv w:val="1"/>
      <w:marLeft w:val="0"/>
      <w:marRight w:val="0"/>
      <w:marTop w:val="0"/>
      <w:marBottom w:val="0"/>
      <w:divBdr>
        <w:top w:val="none" w:sz="0" w:space="0" w:color="auto"/>
        <w:left w:val="none" w:sz="0" w:space="0" w:color="auto"/>
        <w:bottom w:val="none" w:sz="0" w:space="0" w:color="auto"/>
        <w:right w:val="none" w:sz="0" w:space="0" w:color="auto"/>
      </w:divBdr>
      <w:divsChild>
        <w:div w:id="810437282">
          <w:marLeft w:val="0"/>
          <w:marRight w:val="0"/>
          <w:marTop w:val="0"/>
          <w:marBottom w:val="0"/>
          <w:divBdr>
            <w:top w:val="none" w:sz="0" w:space="0" w:color="auto"/>
            <w:left w:val="none" w:sz="0" w:space="0" w:color="auto"/>
            <w:bottom w:val="single" w:sz="4" w:space="0"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KÖSE</dc:creator>
  <cp:lastModifiedBy>Abdullah KÖSE</cp:lastModifiedBy>
  <cp:revision>1</cp:revision>
  <dcterms:created xsi:type="dcterms:W3CDTF">2014-09-03T11:59:00Z</dcterms:created>
  <dcterms:modified xsi:type="dcterms:W3CDTF">2014-09-03T12:00:00Z</dcterms:modified>
</cp:coreProperties>
</file>